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0B0" w:rsidRDefault="006910B0" w:rsidP="00E16116">
      <w:pPr>
        <w:spacing w:line="240" w:lineRule="auto"/>
        <w:jc w:val="center"/>
        <w:rPr>
          <w:color w:val="76923C" w:themeColor="accent3" w:themeShade="BF"/>
          <w:sz w:val="36"/>
        </w:rPr>
      </w:pPr>
    </w:p>
    <w:p w:rsidR="00E907C3" w:rsidRPr="00E16116" w:rsidRDefault="0056051D" w:rsidP="00E16116">
      <w:pPr>
        <w:spacing w:line="240" w:lineRule="auto"/>
        <w:jc w:val="center"/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 xml:space="preserve">Les </w:t>
      </w:r>
      <w:r w:rsidR="00E907C3" w:rsidRPr="00E16116">
        <w:rPr>
          <w:color w:val="76923C" w:themeColor="accent3" w:themeShade="BF"/>
          <w:sz w:val="36"/>
        </w:rPr>
        <w:t xml:space="preserve">Médicaments Non </w:t>
      </w:r>
      <w:r w:rsidRPr="00E16116">
        <w:rPr>
          <w:color w:val="76923C" w:themeColor="accent3" w:themeShade="BF"/>
          <w:sz w:val="36"/>
        </w:rPr>
        <w:t>Utilisés :</w:t>
      </w:r>
      <w:r w:rsidR="00E907C3" w:rsidRPr="00E16116">
        <w:rPr>
          <w:color w:val="76923C" w:themeColor="accent3" w:themeShade="BF"/>
          <w:sz w:val="36"/>
        </w:rPr>
        <w:t xml:space="preserve"> </w:t>
      </w:r>
    </w:p>
    <w:p w:rsidR="00E907C3" w:rsidRDefault="0056051D" w:rsidP="00E16116">
      <w:pPr>
        <w:pBdr>
          <w:bottom w:val="single" w:sz="4" w:space="1" w:color="76923C" w:themeColor="accent3" w:themeShade="BF"/>
        </w:pBdr>
        <w:spacing w:line="240" w:lineRule="auto"/>
        <w:jc w:val="center"/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>La tendance à la baisse se confirme</w:t>
      </w:r>
      <w:r w:rsidR="00E907C3" w:rsidRPr="00E16116">
        <w:rPr>
          <w:color w:val="76923C" w:themeColor="accent3" w:themeShade="BF"/>
          <w:sz w:val="36"/>
        </w:rPr>
        <w:t> </w:t>
      </w:r>
      <w:r w:rsidR="00F85915">
        <w:rPr>
          <w:color w:val="76923C" w:themeColor="accent3" w:themeShade="BF"/>
          <w:sz w:val="36"/>
        </w:rPr>
        <w:t>en 201</w:t>
      </w:r>
      <w:r w:rsidR="00131D8B">
        <w:rPr>
          <w:color w:val="76923C" w:themeColor="accent3" w:themeShade="BF"/>
          <w:sz w:val="36"/>
        </w:rPr>
        <w:t>8</w:t>
      </w:r>
    </w:p>
    <w:p w:rsidR="00B77FA4" w:rsidRPr="00B77FA4" w:rsidRDefault="00B77FA4" w:rsidP="00E16116">
      <w:pPr>
        <w:pBdr>
          <w:bottom w:val="single" w:sz="4" w:space="1" w:color="76923C" w:themeColor="accent3" w:themeShade="BF"/>
        </w:pBdr>
        <w:spacing w:line="240" w:lineRule="auto"/>
        <w:jc w:val="center"/>
        <w:rPr>
          <w:color w:val="76923C" w:themeColor="accent3" w:themeShade="BF"/>
          <w:sz w:val="10"/>
        </w:rPr>
      </w:pPr>
    </w:p>
    <w:p w:rsidR="00B77FA4" w:rsidRPr="00B77FA4" w:rsidRDefault="00B77FA4" w:rsidP="00E907C3">
      <w:pPr>
        <w:jc w:val="both"/>
        <w:rPr>
          <w:b/>
          <w:sz w:val="6"/>
          <w:szCs w:val="26"/>
        </w:rPr>
      </w:pPr>
    </w:p>
    <w:p w:rsidR="00E907C3" w:rsidRPr="00034F01" w:rsidRDefault="00E907C3" w:rsidP="00E907C3">
      <w:pPr>
        <w:jc w:val="both"/>
        <w:rPr>
          <w:b/>
          <w:sz w:val="26"/>
          <w:szCs w:val="26"/>
        </w:rPr>
      </w:pPr>
      <w:r w:rsidRPr="00034F01">
        <w:rPr>
          <w:b/>
          <w:sz w:val="26"/>
          <w:szCs w:val="26"/>
        </w:rPr>
        <w:t xml:space="preserve">L’évaluation du gisement des Médicaments Non Utilisés (MNU) des </w:t>
      </w:r>
      <w:r w:rsidR="009D51F2">
        <w:rPr>
          <w:b/>
          <w:sz w:val="26"/>
          <w:szCs w:val="26"/>
        </w:rPr>
        <w:t>foyers</w:t>
      </w:r>
      <w:r w:rsidRPr="00034F01">
        <w:rPr>
          <w:b/>
          <w:sz w:val="26"/>
          <w:szCs w:val="26"/>
        </w:rPr>
        <w:t xml:space="preserve"> est confiée, depuis </w:t>
      </w:r>
      <w:r w:rsidR="0060561E">
        <w:rPr>
          <w:b/>
          <w:sz w:val="26"/>
          <w:szCs w:val="26"/>
        </w:rPr>
        <w:t>2010</w:t>
      </w:r>
      <w:r w:rsidRPr="00034F01">
        <w:rPr>
          <w:b/>
          <w:sz w:val="26"/>
          <w:szCs w:val="26"/>
        </w:rPr>
        <w:t>, à l’institut CSA</w:t>
      </w:r>
      <w:r w:rsidR="00B77FA4">
        <w:rPr>
          <w:b/>
          <w:sz w:val="26"/>
          <w:szCs w:val="26"/>
        </w:rPr>
        <w:t xml:space="preserve"> Research</w:t>
      </w:r>
      <w:r w:rsidRPr="00034F01">
        <w:rPr>
          <w:b/>
          <w:sz w:val="26"/>
          <w:szCs w:val="26"/>
        </w:rPr>
        <w:t>. Cette évaluation représente pour Cyclamed l’opportunité de mesurer la performance et l’évolution de son dispositif qui consiste « à collecter et à valoriser les MNU rapportés par l</w:t>
      </w:r>
      <w:r w:rsidR="009D51F2">
        <w:rPr>
          <w:b/>
          <w:sz w:val="26"/>
          <w:szCs w:val="26"/>
        </w:rPr>
        <w:t>es patients dans les pharmacies ».</w:t>
      </w:r>
    </w:p>
    <w:p w:rsidR="00E907C3" w:rsidRPr="00034F01" w:rsidRDefault="00E907C3" w:rsidP="00E907C3">
      <w:pPr>
        <w:jc w:val="both"/>
        <w:rPr>
          <w:b/>
          <w:sz w:val="26"/>
          <w:szCs w:val="26"/>
        </w:rPr>
      </w:pPr>
      <w:r w:rsidRPr="00034F01">
        <w:rPr>
          <w:b/>
          <w:sz w:val="26"/>
          <w:szCs w:val="26"/>
        </w:rPr>
        <w:t>Pour évaluer l’évolution du giseme</w:t>
      </w:r>
      <w:r w:rsidR="00034F01" w:rsidRPr="00034F01">
        <w:rPr>
          <w:b/>
          <w:sz w:val="26"/>
          <w:szCs w:val="26"/>
        </w:rPr>
        <w:t xml:space="preserve">nt des MNU, une </w:t>
      </w:r>
      <w:r w:rsidRPr="00034F01">
        <w:rPr>
          <w:b/>
          <w:sz w:val="26"/>
          <w:szCs w:val="26"/>
        </w:rPr>
        <w:t>étude</w:t>
      </w:r>
      <w:r w:rsidR="00C04781">
        <w:rPr>
          <w:b/>
          <w:sz w:val="26"/>
          <w:szCs w:val="26"/>
        </w:rPr>
        <w:t xml:space="preserve">, </w:t>
      </w:r>
      <w:r w:rsidRPr="00034F01">
        <w:rPr>
          <w:b/>
          <w:sz w:val="26"/>
          <w:szCs w:val="26"/>
        </w:rPr>
        <w:t xml:space="preserve">réalisée </w:t>
      </w:r>
      <w:r w:rsidR="00AA419B">
        <w:rPr>
          <w:b/>
          <w:sz w:val="26"/>
          <w:szCs w:val="26"/>
        </w:rPr>
        <w:t xml:space="preserve">tous les 2 ans depuis 2010, </w:t>
      </w:r>
      <w:r w:rsidR="00131D8B">
        <w:rPr>
          <w:b/>
          <w:sz w:val="26"/>
          <w:szCs w:val="26"/>
        </w:rPr>
        <w:t>a</w:t>
      </w:r>
      <w:r w:rsidR="00C04781">
        <w:rPr>
          <w:b/>
          <w:sz w:val="26"/>
          <w:szCs w:val="26"/>
        </w:rPr>
        <w:t xml:space="preserve"> été </w:t>
      </w:r>
      <w:r w:rsidR="006C2157">
        <w:rPr>
          <w:b/>
          <w:sz w:val="26"/>
          <w:szCs w:val="26"/>
        </w:rPr>
        <w:t>reconduite en 201</w:t>
      </w:r>
      <w:r w:rsidR="00131D8B">
        <w:rPr>
          <w:b/>
          <w:sz w:val="26"/>
          <w:szCs w:val="26"/>
        </w:rPr>
        <w:t>8</w:t>
      </w:r>
      <w:r w:rsidR="00C04781">
        <w:rPr>
          <w:b/>
          <w:sz w:val="26"/>
          <w:szCs w:val="26"/>
        </w:rPr>
        <w:t xml:space="preserve"> </w:t>
      </w:r>
      <w:r w:rsidRPr="00034F01">
        <w:rPr>
          <w:b/>
          <w:sz w:val="26"/>
          <w:szCs w:val="26"/>
        </w:rPr>
        <w:t>s</w:t>
      </w:r>
      <w:r w:rsidR="00131D8B">
        <w:rPr>
          <w:b/>
          <w:sz w:val="26"/>
          <w:szCs w:val="26"/>
        </w:rPr>
        <w:t xml:space="preserve">elon le même cahier des charges </w:t>
      </w:r>
      <w:r w:rsidRPr="00034F01">
        <w:rPr>
          <w:b/>
          <w:sz w:val="26"/>
          <w:szCs w:val="26"/>
        </w:rPr>
        <w:t xml:space="preserve">et menée </w:t>
      </w:r>
      <w:r w:rsidR="000F7CE7" w:rsidRPr="00034F01">
        <w:rPr>
          <w:b/>
          <w:sz w:val="26"/>
          <w:szCs w:val="26"/>
        </w:rPr>
        <w:t xml:space="preserve">avec un échantillon de </w:t>
      </w:r>
      <w:r w:rsidR="00131D8B">
        <w:rPr>
          <w:b/>
          <w:sz w:val="26"/>
          <w:szCs w:val="26"/>
        </w:rPr>
        <w:t>653</w:t>
      </w:r>
      <w:r w:rsidR="000F7CE7" w:rsidRPr="00034F01">
        <w:rPr>
          <w:b/>
          <w:sz w:val="26"/>
          <w:szCs w:val="26"/>
        </w:rPr>
        <w:t xml:space="preserve"> foyers représentatifs de la population française sur la base des quotas déjà établis</w:t>
      </w:r>
      <w:r w:rsidR="009A4F96">
        <w:rPr>
          <w:b/>
          <w:sz w:val="26"/>
          <w:szCs w:val="26"/>
        </w:rPr>
        <w:t xml:space="preserve"> les années précédentes </w:t>
      </w:r>
      <w:r w:rsidR="000F7CE7" w:rsidRPr="00034F01">
        <w:rPr>
          <w:b/>
          <w:sz w:val="26"/>
          <w:szCs w:val="26"/>
        </w:rPr>
        <w:t>: les régions, les catégories socioprofessionnelles du chef de famille, le nombre de personnes dans chaque foy</w:t>
      </w:r>
      <w:r w:rsidR="00131D8B">
        <w:rPr>
          <w:b/>
          <w:sz w:val="26"/>
          <w:szCs w:val="26"/>
        </w:rPr>
        <w:t>er et l’âge du chef de famille.</w:t>
      </w:r>
    </w:p>
    <w:p w:rsidR="009D51F2" w:rsidRDefault="009A4F96" w:rsidP="00E907C3">
      <w:pPr>
        <w:jc w:val="both"/>
        <w:rPr>
          <w:sz w:val="24"/>
        </w:rPr>
      </w:pPr>
      <w:r>
        <w:rPr>
          <w:sz w:val="24"/>
        </w:rPr>
        <w:t xml:space="preserve">Comme pour </w:t>
      </w:r>
      <w:r w:rsidR="00131D8B">
        <w:rPr>
          <w:sz w:val="24"/>
        </w:rPr>
        <w:t>les éditions</w:t>
      </w:r>
      <w:r>
        <w:rPr>
          <w:sz w:val="24"/>
        </w:rPr>
        <w:t xml:space="preserve"> antérieures</w:t>
      </w:r>
      <w:r w:rsidR="00034F01">
        <w:rPr>
          <w:sz w:val="24"/>
        </w:rPr>
        <w:t xml:space="preserve">, cette étude s’est effectuée en deux temps. Une première visite a permis de recruter les foyers et de leur expliquer les modalités de participation </w:t>
      </w:r>
      <w:r>
        <w:rPr>
          <w:sz w:val="24"/>
        </w:rPr>
        <w:t xml:space="preserve"> impliquant celles de</w:t>
      </w:r>
      <w:r w:rsidR="00034F01">
        <w:rPr>
          <w:sz w:val="24"/>
        </w:rPr>
        <w:t xml:space="preserve"> regroupe</w:t>
      </w:r>
      <w:r>
        <w:rPr>
          <w:sz w:val="24"/>
        </w:rPr>
        <w:t xml:space="preserve">r </w:t>
      </w:r>
      <w:r w:rsidR="00034F01">
        <w:rPr>
          <w:sz w:val="24"/>
        </w:rPr>
        <w:t xml:space="preserve"> </w:t>
      </w:r>
      <w:r>
        <w:rPr>
          <w:sz w:val="24"/>
        </w:rPr>
        <w:t>l</w:t>
      </w:r>
      <w:r w:rsidR="00034F01">
        <w:rPr>
          <w:sz w:val="24"/>
        </w:rPr>
        <w:t>es mé</w:t>
      </w:r>
      <w:r w:rsidR="00EC10BD">
        <w:rPr>
          <w:sz w:val="24"/>
        </w:rPr>
        <w:t>dicaments présents au domicile </w:t>
      </w:r>
      <w:r>
        <w:rPr>
          <w:sz w:val="24"/>
        </w:rPr>
        <w:t xml:space="preserve"> et</w:t>
      </w:r>
      <w:r w:rsidR="00034F01">
        <w:rPr>
          <w:sz w:val="24"/>
        </w:rPr>
        <w:t xml:space="preserve"> ceux gardés dans des endroits divers</w:t>
      </w:r>
      <w:r>
        <w:rPr>
          <w:sz w:val="24"/>
        </w:rPr>
        <w:t xml:space="preserve">, </w:t>
      </w:r>
      <w:r w:rsidR="00034F01">
        <w:rPr>
          <w:sz w:val="24"/>
        </w:rPr>
        <w:t>tels que bureau, voiture…</w:t>
      </w:r>
      <w:r w:rsidR="009D51F2">
        <w:rPr>
          <w:sz w:val="24"/>
        </w:rPr>
        <w:t xml:space="preserve"> . </w:t>
      </w:r>
    </w:p>
    <w:p w:rsidR="00034F01" w:rsidRDefault="009D51F2" w:rsidP="00E907C3">
      <w:pPr>
        <w:jc w:val="both"/>
        <w:rPr>
          <w:sz w:val="24"/>
        </w:rPr>
      </w:pPr>
      <w:r>
        <w:rPr>
          <w:sz w:val="24"/>
        </w:rPr>
        <w:t xml:space="preserve">Les médicaments ont été triés selon les quatre catégories suivantes </w:t>
      </w:r>
      <w:r w:rsidR="00034F01">
        <w:rPr>
          <w:sz w:val="24"/>
        </w:rPr>
        <w:t xml:space="preserve">: </w:t>
      </w:r>
    </w:p>
    <w:p w:rsidR="00034F01" w:rsidRDefault="009D51F2" w:rsidP="00034F01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Les traitements </w:t>
      </w:r>
      <w:r w:rsidR="006C2157">
        <w:rPr>
          <w:sz w:val="24"/>
        </w:rPr>
        <w:t>court</w:t>
      </w:r>
      <w:r w:rsidR="00C04781">
        <w:rPr>
          <w:sz w:val="24"/>
        </w:rPr>
        <w:t>s</w:t>
      </w:r>
      <w:r w:rsidR="006C2157">
        <w:rPr>
          <w:sz w:val="24"/>
        </w:rPr>
        <w:t>/aigu</w:t>
      </w:r>
      <w:r w:rsidR="00C04781">
        <w:rPr>
          <w:sz w:val="24"/>
        </w:rPr>
        <w:t>s</w:t>
      </w:r>
      <w:r w:rsidR="006C2157">
        <w:rPr>
          <w:sz w:val="24"/>
        </w:rPr>
        <w:t xml:space="preserve"> en cours de 5 à 10 jours </w:t>
      </w:r>
    </w:p>
    <w:p w:rsidR="00034F01" w:rsidRDefault="00034F01" w:rsidP="00034F01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Les traitements </w:t>
      </w:r>
      <w:r w:rsidR="006C2157">
        <w:rPr>
          <w:sz w:val="24"/>
        </w:rPr>
        <w:t>long</w:t>
      </w:r>
      <w:r w:rsidR="00C04781">
        <w:rPr>
          <w:sz w:val="24"/>
        </w:rPr>
        <w:t>s</w:t>
      </w:r>
      <w:r w:rsidR="006C2157">
        <w:rPr>
          <w:sz w:val="24"/>
        </w:rPr>
        <w:t>/ chronique</w:t>
      </w:r>
      <w:r w:rsidR="00C04781">
        <w:rPr>
          <w:sz w:val="24"/>
        </w:rPr>
        <w:t>s</w:t>
      </w:r>
      <w:r w:rsidR="006C2157">
        <w:rPr>
          <w:sz w:val="24"/>
        </w:rPr>
        <w:t xml:space="preserve"> </w:t>
      </w:r>
      <w:r>
        <w:rPr>
          <w:sz w:val="24"/>
        </w:rPr>
        <w:t>en cours d’un mois et plus</w:t>
      </w:r>
    </w:p>
    <w:p w:rsidR="00034F01" w:rsidRDefault="00034F01" w:rsidP="00034F01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Les médicaments destinés à l’automédication </w:t>
      </w:r>
    </w:p>
    <w:p w:rsidR="00034F01" w:rsidRDefault="00034F01" w:rsidP="00034F01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Les médicaments qui ne seront pas ou plus utilisés</w:t>
      </w:r>
      <w:r w:rsidR="006C2157">
        <w:rPr>
          <w:sz w:val="24"/>
        </w:rPr>
        <w:t xml:space="preserve">, qu’ils soient périmés ou non </w:t>
      </w:r>
    </w:p>
    <w:p w:rsidR="00DC78F7" w:rsidRDefault="00034F01" w:rsidP="00E907C3">
      <w:pPr>
        <w:jc w:val="both"/>
        <w:rPr>
          <w:sz w:val="24"/>
        </w:rPr>
      </w:pPr>
      <w:r>
        <w:rPr>
          <w:sz w:val="24"/>
        </w:rPr>
        <w:t xml:space="preserve">Une deuxième visite, au domicile de l’interviewé, a permis de dissocier </w:t>
      </w:r>
      <w:r w:rsidR="009D51F2">
        <w:rPr>
          <w:sz w:val="24"/>
        </w:rPr>
        <w:t>ces quatre catégories de médicaments</w:t>
      </w:r>
      <w:r w:rsidR="008664E7">
        <w:rPr>
          <w:sz w:val="24"/>
        </w:rPr>
        <w:t xml:space="preserve"> et de les peser (NB : les pesées comprenaient à la fois les substances médicamenteuses, mais également, lorsqu’ils étaient présents, les emballages </w:t>
      </w:r>
      <w:r w:rsidR="009A4F96">
        <w:rPr>
          <w:sz w:val="24"/>
        </w:rPr>
        <w:t xml:space="preserve">en </w:t>
      </w:r>
      <w:r w:rsidR="008664E7">
        <w:rPr>
          <w:sz w:val="24"/>
        </w:rPr>
        <w:t>carton  et les notices</w:t>
      </w:r>
      <w:r w:rsidR="009A4F96">
        <w:rPr>
          <w:sz w:val="24"/>
        </w:rPr>
        <w:t xml:space="preserve"> en papier</w:t>
      </w:r>
      <w:r w:rsidR="008664E7">
        <w:rPr>
          <w:sz w:val="24"/>
        </w:rPr>
        <w:t>)</w:t>
      </w:r>
      <w:r>
        <w:rPr>
          <w:sz w:val="24"/>
        </w:rPr>
        <w:t xml:space="preserve">. </w:t>
      </w:r>
      <w:r w:rsidR="00EC10BD">
        <w:rPr>
          <w:sz w:val="24"/>
        </w:rPr>
        <w:t xml:space="preserve">Les pesées ont été effectuées avec les mêmes types de balances </w:t>
      </w:r>
      <w:r w:rsidR="008664E7">
        <w:rPr>
          <w:sz w:val="24"/>
        </w:rPr>
        <w:t xml:space="preserve">que celles </w:t>
      </w:r>
      <w:r w:rsidR="00EC10BD">
        <w:rPr>
          <w:sz w:val="24"/>
        </w:rPr>
        <w:t xml:space="preserve">utilisées </w:t>
      </w:r>
      <w:r w:rsidR="008664E7">
        <w:rPr>
          <w:sz w:val="24"/>
        </w:rPr>
        <w:t>lors des précédentes enquêtes</w:t>
      </w:r>
      <w:r w:rsidR="00EC10BD">
        <w:rPr>
          <w:sz w:val="24"/>
        </w:rPr>
        <w:t xml:space="preserve"> : </w:t>
      </w:r>
      <w:r w:rsidR="008664E7">
        <w:rPr>
          <w:sz w:val="24"/>
        </w:rPr>
        <w:t xml:space="preserve">une </w:t>
      </w:r>
      <w:r w:rsidR="00EC10BD">
        <w:rPr>
          <w:sz w:val="24"/>
        </w:rPr>
        <w:t xml:space="preserve">balance avec tare automatique, </w:t>
      </w:r>
      <w:r w:rsidR="009A4F96">
        <w:rPr>
          <w:sz w:val="24"/>
        </w:rPr>
        <w:t xml:space="preserve">à </w:t>
      </w:r>
      <w:r w:rsidR="00EC10BD">
        <w:rPr>
          <w:sz w:val="24"/>
        </w:rPr>
        <w:t>précisio</w:t>
      </w:r>
      <w:r w:rsidR="009D51F2">
        <w:rPr>
          <w:sz w:val="24"/>
        </w:rPr>
        <w:t xml:space="preserve">n de 1 g </w:t>
      </w:r>
      <w:r w:rsidR="008664E7">
        <w:rPr>
          <w:sz w:val="24"/>
        </w:rPr>
        <w:t>pour une</w:t>
      </w:r>
      <w:r w:rsidR="009D51F2">
        <w:rPr>
          <w:sz w:val="24"/>
        </w:rPr>
        <w:t xml:space="preserve"> portée maximum de 5 </w:t>
      </w:r>
      <w:r w:rsidR="00EC10BD">
        <w:rPr>
          <w:sz w:val="24"/>
        </w:rPr>
        <w:t>Kg.</w:t>
      </w:r>
      <w:r w:rsidR="00BD1FAF">
        <w:rPr>
          <w:sz w:val="24"/>
        </w:rPr>
        <w:t xml:space="preserve"> </w:t>
      </w:r>
    </w:p>
    <w:p w:rsidR="00E111EA" w:rsidRDefault="00E111EA" w:rsidP="00E907C3">
      <w:pPr>
        <w:jc w:val="both"/>
        <w:rPr>
          <w:sz w:val="24"/>
        </w:rPr>
      </w:pPr>
    </w:p>
    <w:p w:rsidR="00E111EA" w:rsidRDefault="00E111EA" w:rsidP="00E907C3">
      <w:pPr>
        <w:jc w:val="both"/>
        <w:rPr>
          <w:sz w:val="24"/>
        </w:rPr>
      </w:pPr>
    </w:p>
    <w:p w:rsidR="00DC78F7" w:rsidRDefault="00CD6F94" w:rsidP="00DB07FE">
      <w:pPr>
        <w:spacing w:after="0"/>
        <w:jc w:val="both"/>
        <w:rPr>
          <w:b/>
          <w:sz w:val="24"/>
        </w:rPr>
      </w:pPr>
      <w:r>
        <w:rPr>
          <w:b/>
          <w:sz w:val="24"/>
        </w:rPr>
        <w:lastRenderedPageBreak/>
        <w:t>Les résultats de cette nouvelle étude :</w:t>
      </w:r>
    </w:p>
    <w:p w:rsidR="00DB07FE" w:rsidRPr="00DB07FE" w:rsidRDefault="00DB07FE" w:rsidP="00DB07FE">
      <w:pPr>
        <w:spacing w:after="0"/>
        <w:jc w:val="both"/>
        <w:rPr>
          <w:b/>
          <w:sz w:val="8"/>
          <w:szCs w:val="16"/>
        </w:rPr>
      </w:pPr>
    </w:p>
    <w:p w:rsidR="000D0BB5" w:rsidRDefault="00CD6F94" w:rsidP="00DB07FE">
      <w:pPr>
        <w:spacing w:after="0" w:line="240" w:lineRule="auto"/>
        <w:jc w:val="both"/>
        <w:rPr>
          <w:sz w:val="24"/>
        </w:rPr>
      </w:pPr>
      <w:r w:rsidRPr="000D0BB5">
        <w:rPr>
          <w:sz w:val="24"/>
        </w:rPr>
        <w:t xml:space="preserve">Depuis 2010, date de la première étude, nous constatons une diminution régulière de la quantité de Médicaments Non Utilisés </w:t>
      </w:r>
      <w:r w:rsidR="00903494">
        <w:rPr>
          <w:sz w:val="24"/>
        </w:rPr>
        <w:t>au sein des foyers français</w:t>
      </w:r>
      <w:r w:rsidRPr="000D0BB5">
        <w:rPr>
          <w:sz w:val="24"/>
        </w:rPr>
        <w:t xml:space="preserve">. </w:t>
      </w:r>
    </w:p>
    <w:p w:rsidR="00B77FA4" w:rsidRDefault="00B77FA4" w:rsidP="00903494">
      <w:pPr>
        <w:spacing w:after="0" w:line="240" w:lineRule="auto"/>
        <w:jc w:val="both"/>
        <w:rPr>
          <w:sz w:val="24"/>
        </w:rPr>
      </w:pPr>
    </w:p>
    <w:p w:rsidR="00903494" w:rsidRDefault="00CD6F94" w:rsidP="00903494">
      <w:pPr>
        <w:spacing w:after="0" w:line="240" w:lineRule="auto"/>
        <w:jc w:val="both"/>
        <w:rPr>
          <w:b/>
          <w:sz w:val="24"/>
        </w:rPr>
      </w:pPr>
      <w:r w:rsidRPr="000D0BB5">
        <w:rPr>
          <w:sz w:val="24"/>
        </w:rPr>
        <w:t>Cette tendance s</w:t>
      </w:r>
      <w:r w:rsidR="00F85915">
        <w:rPr>
          <w:sz w:val="24"/>
        </w:rPr>
        <w:t xml:space="preserve">’est </w:t>
      </w:r>
      <w:r w:rsidR="00903494">
        <w:rPr>
          <w:sz w:val="24"/>
        </w:rPr>
        <w:t>confirmée en 201</w:t>
      </w:r>
      <w:r w:rsidR="008165E3">
        <w:rPr>
          <w:sz w:val="24"/>
        </w:rPr>
        <w:t>8</w:t>
      </w:r>
      <w:r w:rsidR="00FB3313">
        <w:rPr>
          <w:sz w:val="24"/>
        </w:rPr>
        <w:t xml:space="preserve"> avec </w:t>
      </w:r>
      <w:r w:rsidR="00FB3313" w:rsidRPr="00B77FA4">
        <w:rPr>
          <w:b/>
          <w:sz w:val="24"/>
        </w:rPr>
        <w:t>une</w:t>
      </w:r>
      <w:r w:rsidR="00022C60" w:rsidRPr="00B77FA4">
        <w:rPr>
          <w:b/>
          <w:sz w:val="24"/>
        </w:rPr>
        <w:t xml:space="preserve"> masse </w:t>
      </w:r>
      <w:r w:rsidR="005649DE" w:rsidRPr="00B77FA4">
        <w:rPr>
          <w:b/>
          <w:sz w:val="24"/>
        </w:rPr>
        <w:t xml:space="preserve">annuelle </w:t>
      </w:r>
      <w:r w:rsidR="00022C60" w:rsidRPr="00B77FA4">
        <w:rPr>
          <w:b/>
          <w:sz w:val="24"/>
        </w:rPr>
        <w:t xml:space="preserve">moyenne de MNU </w:t>
      </w:r>
      <w:r w:rsidR="003632CA" w:rsidRPr="00B77FA4">
        <w:rPr>
          <w:b/>
          <w:sz w:val="24"/>
        </w:rPr>
        <w:t xml:space="preserve">au sein des foyers </w:t>
      </w:r>
      <w:r w:rsidR="00FB3313" w:rsidRPr="00B77FA4">
        <w:rPr>
          <w:b/>
          <w:sz w:val="24"/>
        </w:rPr>
        <w:t>qui diminue</w:t>
      </w:r>
      <w:r w:rsidR="003632CA" w:rsidRPr="00B77FA4">
        <w:rPr>
          <w:b/>
          <w:sz w:val="24"/>
        </w:rPr>
        <w:t xml:space="preserve"> de </w:t>
      </w:r>
      <w:r w:rsidR="00022C60" w:rsidRPr="00B77FA4">
        <w:rPr>
          <w:b/>
          <w:sz w:val="24"/>
        </w:rPr>
        <w:t>8,6</w:t>
      </w:r>
      <w:r w:rsidR="003632CA" w:rsidRPr="00B77FA4">
        <w:rPr>
          <w:b/>
          <w:sz w:val="24"/>
        </w:rPr>
        <w:t>% par rapport à 201</w:t>
      </w:r>
      <w:r w:rsidR="008165E3" w:rsidRPr="00B77FA4">
        <w:rPr>
          <w:b/>
          <w:sz w:val="24"/>
        </w:rPr>
        <w:t>6</w:t>
      </w:r>
      <w:r w:rsidR="003632CA" w:rsidRPr="00B77FA4">
        <w:rPr>
          <w:sz w:val="24"/>
        </w:rPr>
        <w:t> </w:t>
      </w:r>
      <w:r w:rsidR="00903494">
        <w:rPr>
          <w:sz w:val="24"/>
        </w:rPr>
        <w:t>:</w:t>
      </w:r>
      <w:r w:rsidR="00022C60">
        <w:rPr>
          <w:sz w:val="24"/>
        </w:rPr>
        <w:t xml:space="preserve"> 614</w:t>
      </w:r>
      <w:r w:rsidR="00903494">
        <w:rPr>
          <w:sz w:val="24"/>
        </w:rPr>
        <w:t xml:space="preserve">g vs </w:t>
      </w:r>
      <w:r w:rsidR="00022C60">
        <w:rPr>
          <w:sz w:val="24"/>
        </w:rPr>
        <w:t>672</w:t>
      </w:r>
      <w:r w:rsidR="00903494">
        <w:rPr>
          <w:sz w:val="24"/>
        </w:rPr>
        <w:t>g en 201</w:t>
      </w:r>
      <w:r w:rsidR="008165E3">
        <w:rPr>
          <w:sz w:val="24"/>
        </w:rPr>
        <w:t>6</w:t>
      </w:r>
      <w:r w:rsidR="00903494">
        <w:rPr>
          <w:sz w:val="24"/>
        </w:rPr>
        <w:t xml:space="preserve">.  </w:t>
      </w:r>
    </w:p>
    <w:p w:rsidR="00903494" w:rsidRPr="00DB07FE" w:rsidRDefault="00903494" w:rsidP="00CD6F94">
      <w:pPr>
        <w:spacing w:after="0" w:line="240" w:lineRule="auto"/>
        <w:jc w:val="both"/>
        <w:rPr>
          <w:sz w:val="16"/>
          <w:szCs w:val="16"/>
        </w:rPr>
      </w:pPr>
    </w:p>
    <w:p w:rsidR="00B77FA4" w:rsidRDefault="00B77FA4" w:rsidP="00DB07FE">
      <w:pPr>
        <w:spacing w:after="120"/>
        <w:jc w:val="both"/>
        <w:rPr>
          <w:b/>
          <w:sz w:val="24"/>
        </w:rPr>
      </w:pPr>
    </w:p>
    <w:p w:rsidR="002247AE" w:rsidRPr="00436227" w:rsidRDefault="008768BD" w:rsidP="00DB07FE">
      <w:pPr>
        <w:spacing w:after="120"/>
        <w:jc w:val="both"/>
        <w:rPr>
          <w:b/>
          <w:sz w:val="24"/>
        </w:rPr>
      </w:pPr>
      <w:r w:rsidRPr="00436227">
        <w:rPr>
          <w:b/>
          <w:sz w:val="24"/>
        </w:rPr>
        <w:t xml:space="preserve">Évolution </w:t>
      </w:r>
      <w:r w:rsidR="00DC78F7" w:rsidRPr="00436227">
        <w:rPr>
          <w:b/>
          <w:sz w:val="24"/>
        </w:rPr>
        <w:t>du gisement des MNU des foyers</w:t>
      </w:r>
      <w:r w:rsidR="00CC5A77" w:rsidRPr="00436227">
        <w:rPr>
          <w:b/>
          <w:sz w:val="24"/>
        </w:rPr>
        <w:t xml:space="preserve"> français</w:t>
      </w:r>
      <w:r w:rsidR="00BA779C" w:rsidRPr="00436227">
        <w:rPr>
          <w:b/>
          <w:sz w:val="24"/>
        </w:rPr>
        <w:t xml:space="preserve"> </w:t>
      </w:r>
      <w:r w:rsidRPr="00436227">
        <w:rPr>
          <w:b/>
          <w:sz w:val="24"/>
        </w:rPr>
        <w:t xml:space="preserve">: </w:t>
      </w:r>
    </w:p>
    <w:tbl>
      <w:tblPr>
        <w:tblW w:w="9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200"/>
        <w:gridCol w:w="1200"/>
        <w:gridCol w:w="1200"/>
        <w:gridCol w:w="1200"/>
        <w:gridCol w:w="1200"/>
      </w:tblGrid>
      <w:tr w:rsidR="00436227" w:rsidRPr="00436227" w:rsidTr="00436227">
        <w:trPr>
          <w:trHeight w:val="330"/>
        </w:trPr>
        <w:tc>
          <w:tcPr>
            <w:tcW w:w="33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  <w:sz w:val="24"/>
                <w:szCs w:val="24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  <w:sz w:val="24"/>
                <w:szCs w:val="24"/>
              </w:rPr>
              <w:t>Médicaments Non Utilisés</w:t>
            </w:r>
          </w:p>
        </w:tc>
        <w:tc>
          <w:tcPr>
            <w:tcW w:w="12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2010</w:t>
            </w:r>
          </w:p>
        </w:tc>
        <w:tc>
          <w:tcPr>
            <w:tcW w:w="12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2016</w:t>
            </w:r>
          </w:p>
        </w:tc>
        <w:tc>
          <w:tcPr>
            <w:tcW w:w="12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2018</w:t>
            </w:r>
          </w:p>
        </w:tc>
      </w:tr>
      <w:tr w:rsidR="00436227" w:rsidRPr="00436227" w:rsidTr="0043622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 xml:space="preserve">Nombre de foyers interrogés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504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518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504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653</w:t>
            </w:r>
          </w:p>
        </w:tc>
      </w:tr>
      <w:tr w:rsidR="00436227" w:rsidRPr="00436227" w:rsidTr="00436227">
        <w:trPr>
          <w:trHeight w:val="6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Moyenne par foyer (en grammes) - In</w:t>
            </w:r>
            <w:r w:rsidR="00B77FA4">
              <w:rPr>
                <w:rFonts w:ascii="Calibri" w:eastAsia="Times New Roman" w:hAnsi="Calibri" w:cs="Arial"/>
                <w:b/>
                <w:bCs/>
                <w:color w:val="76923C"/>
              </w:rPr>
              <w:t>s</w:t>
            </w: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tant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</w:rPr>
            </w:pPr>
            <w:r w:rsidRPr="00436227">
              <w:rPr>
                <w:rFonts w:ascii="Calibri" w:eastAsia="Times New Roman" w:hAnsi="Calibri" w:cs="Arial"/>
                <w:color w:val="76923C"/>
              </w:rPr>
              <w:t>477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</w:rPr>
            </w:pPr>
            <w:r w:rsidRPr="00436227">
              <w:rPr>
                <w:rFonts w:ascii="Calibri" w:eastAsia="Times New Roman" w:hAnsi="Calibri" w:cs="Arial"/>
                <w:color w:val="76923C"/>
              </w:rPr>
              <w:t>439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</w:rPr>
            </w:pPr>
            <w:r w:rsidRPr="00436227">
              <w:rPr>
                <w:rFonts w:ascii="Calibri" w:eastAsia="Times New Roman" w:hAnsi="Calibri" w:cs="Arial"/>
                <w:color w:val="76923C"/>
              </w:rPr>
              <w:t>358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</w:rPr>
            </w:pPr>
            <w:r w:rsidRPr="00436227">
              <w:rPr>
                <w:rFonts w:ascii="Calibri" w:eastAsia="Times New Roman" w:hAnsi="Calibri" w:cs="Arial"/>
                <w:color w:val="76923C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</w:rPr>
            </w:pPr>
            <w:r w:rsidRPr="00436227">
              <w:rPr>
                <w:rFonts w:ascii="Calibri" w:eastAsia="Times New Roman" w:hAnsi="Calibri" w:cs="Arial"/>
                <w:color w:val="76923C"/>
              </w:rPr>
              <w:t>315</w:t>
            </w:r>
          </w:p>
        </w:tc>
      </w:tr>
      <w:tr w:rsidR="00436227" w:rsidRPr="00436227" w:rsidTr="00436227">
        <w:trPr>
          <w:trHeight w:val="270"/>
        </w:trPr>
        <w:tc>
          <w:tcPr>
            <w:tcW w:w="334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</w:t>
            </w:r>
            <w:r w:rsidR="00B77FA4"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Variation</w:t>
            </w: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 xml:space="preserve"> / enquête précédente)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(-8%)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(-18%)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(-10%)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(-2%)</w:t>
            </w:r>
          </w:p>
        </w:tc>
      </w:tr>
      <w:tr w:rsidR="00436227" w:rsidRPr="00436227" w:rsidTr="00436227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Fréquence de déstockage</w:t>
            </w:r>
            <w:r w:rsidRPr="00BA4AFD">
              <w:rPr>
                <w:rFonts w:ascii="Calibri" w:eastAsia="Times New Roman" w:hAnsi="Calibri" w:cs="Arial"/>
                <w:b/>
                <w:bCs/>
                <w:color w:val="76923C"/>
                <w:vertAlign w:val="superscrip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</w:rPr>
            </w:pPr>
            <w:r w:rsidRPr="00436227">
              <w:rPr>
                <w:rFonts w:ascii="Calibri" w:eastAsia="Times New Roman" w:hAnsi="Calibri" w:cs="Arial"/>
                <w:color w:val="76923C"/>
              </w:rPr>
              <w:t>1,84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</w:rPr>
            </w:pPr>
            <w:r w:rsidRPr="00436227">
              <w:rPr>
                <w:rFonts w:ascii="Calibri" w:eastAsia="Times New Roman" w:hAnsi="Calibri" w:cs="Arial"/>
                <w:color w:val="76923C"/>
              </w:rPr>
              <w:t>1,95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</w:rPr>
            </w:pPr>
            <w:r w:rsidRPr="00436227">
              <w:rPr>
                <w:rFonts w:ascii="Calibri" w:eastAsia="Times New Roman" w:hAnsi="Calibri" w:cs="Arial"/>
                <w:color w:val="76923C"/>
              </w:rPr>
              <w:t>1,93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</w:rPr>
            </w:pPr>
            <w:r w:rsidRPr="00436227">
              <w:rPr>
                <w:rFonts w:ascii="Calibri" w:eastAsia="Times New Roman" w:hAnsi="Calibri" w:cs="Arial"/>
                <w:color w:val="76923C"/>
              </w:rPr>
              <w:t>2,08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</w:rPr>
            </w:pPr>
            <w:r w:rsidRPr="00436227">
              <w:rPr>
                <w:rFonts w:ascii="Calibri" w:eastAsia="Times New Roman" w:hAnsi="Calibri" w:cs="Arial"/>
                <w:color w:val="76923C"/>
              </w:rPr>
              <w:t>1,95</w:t>
            </w:r>
          </w:p>
        </w:tc>
      </w:tr>
      <w:tr w:rsidR="00436227" w:rsidRPr="00436227" w:rsidTr="00436227">
        <w:trPr>
          <w:trHeight w:val="6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 xml:space="preserve">Moyenne par foyer (en grammes) - Annuelle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878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856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691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672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614</w:t>
            </w:r>
          </w:p>
        </w:tc>
      </w:tr>
      <w:tr w:rsidR="00436227" w:rsidRPr="00436227" w:rsidTr="00436227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single" w:sz="4" w:space="0" w:color="E26B0A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</w:t>
            </w:r>
            <w:r w:rsidR="00B77FA4"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Variation</w:t>
            </w: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 xml:space="preserve"> / enquête précédente)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26B0A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26B0A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(-2,5%)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26B0A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(-19,3%)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26B0A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(-2,8%)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E26B0A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(-8,6%)</w:t>
            </w:r>
          </w:p>
        </w:tc>
      </w:tr>
      <w:tr w:rsidR="00436227" w:rsidRPr="00436227" w:rsidTr="0043622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AFD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 xml:space="preserve">Nombre de foyers français </w:t>
            </w:r>
          </w:p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(</w:t>
            </w:r>
            <w:r w:rsidR="00B77FA4"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En</w:t>
            </w: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 xml:space="preserve"> mil</w:t>
            </w:r>
            <w:r w:rsidR="00BA4AFD">
              <w:rPr>
                <w:rFonts w:ascii="Calibri" w:eastAsia="Times New Roman" w:hAnsi="Calibri" w:cs="Arial"/>
                <w:i/>
                <w:iCs/>
                <w:color w:val="76923C"/>
              </w:rPr>
              <w:t>l</w:t>
            </w: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 xml:space="preserve">ier)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26 696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27 270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27 786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28 270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28 766</w:t>
            </w:r>
          </w:p>
        </w:tc>
      </w:tr>
      <w:tr w:rsidR="00436227" w:rsidRPr="00436227" w:rsidTr="00436227">
        <w:trPr>
          <w:trHeight w:val="4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</w:t>
            </w:r>
            <w:r w:rsidR="00B77FA4"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Variation</w:t>
            </w: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 xml:space="preserve"> / enquête précédente)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  <w:t>Recensement</w:t>
            </w:r>
            <w:r w:rsidRPr="00436227"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  <w:vertAlign w:val="superscript"/>
              </w:rPr>
              <w:t>2</w:t>
            </w:r>
            <w:r w:rsidRPr="00436227"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  <w:t xml:space="preserve"> 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  <w:t>Recensement 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  <w:t>Recensement 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  <w:t>Recensement 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  <w:t>Recensement 2014</w:t>
            </w:r>
          </w:p>
        </w:tc>
      </w:tr>
      <w:tr w:rsidR="00436227" w:rsidRPr="00436227" w:rsidTr="00436227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76923C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(+2,1%)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(+1,9%)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(+1,7%)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76923C"/>
                <w:sz w:val="16"/>
                <w:szCs w:val="16"/>
              </w:rPr>
            </w:pPr>
            <w:r w:rsidRPr="00436227">
              <w:rPr>
                <w:rFonts w:ascii="Calibri" w:eastAsia="Times New Roman" w:hAnsi="Calibri" w:cs="Arial"/>
                <w:color w:val="76923C"/>
                <w:sz w:val="16"/>
                <w:szCs w:val="16"/>
              </w:rPr>
              <w:t>(+1,8%)</w:t>
            </w:r>
          </w:p>
        </w:tc>
      </w:tr>
      <w:tr w:rsidR="00436227" w:rsidRPr="00436227" w:rsidTr="00436227">
        <w:trPr>
          <w:trHeight w:val="269"/>
        </w:trPr>
        <w:tc>
          <w:tcPr>
            <w:tcW w:w="3340" w:type="dxa"/>
            <w:vMerge w:val="restart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 xml:space="preserve">Masse </w:t>
            </w:r>
            <w:r w:rsidRPr="00436227">
              <w:rPr>
                <w:rFonts w:ascii="Calibri" w:eastAsia="Times New Roman" w:hAnsi="Calibri" w:cs="Arial"/>
                <w:b/>
                <w:bCs/>
                <w:color w:val="76923C"/>
                <w:u w:val="single"/>
              </w:rPr>
              <w:t>annuelle</w:t>
            </w: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 xml:space="preserve"> </w:t>
            </w:r>
            <w:r w:rsidRPr="00436227">
              <w:rPr>
                <w:rFonts w:ascii="Calibri" w:eastAsia="Times New Roman" w:hAnsi="Calibri" w:cs="Arial"/>
                <w:i/>
                <w:iCs/>
                <w:color w:val="76923C"/>
              </w:rPr>
              <w:t>(Masse moyenne annuelle par foyer X nombre de foyers français)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23 500 T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23 300 T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19 200 T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19 000 T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000000" w:fill="E3ECD0"/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/>
              </w:rPr>
            </w:pPr>
            <w:r w:rsidRPr="00436227">
              <w:rPr>
                <w:rFonts w:ascii="Calibri" w:eastAsia="Times New Roman" w:hAnsi="Calibri" w:cs="Arial"/>
                <w:b/>
                <w:bCs/>
                <w:color w:val="76923C"/>
              </w:rPr>
              <w:t>17 600 T</w:t>
            </w:r>
          </w:p>
        </w:tc>
      </w:tr>
      <w:tr w:rsidR="00436227" w:rsidRPr="00436227" w:rsidTr="00436227">
        <w:trPr>
          <w:trHeight w:val="270"/>
        </w:trPr>
        <w:tc>
          <w:tcPr>
            <w:tcW w:w="3340" w:type="dxa"/>
            <w:vMerge/>
            <w:tcBorders>
              <w:top w:val="nil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76923C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76923C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76923C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76923C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76923C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436227" w:rsidRPr="00436227" w:rsidRDefault="00436227" w:rsidP="004362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76923C"/>
              </w:rPr>
            </w:pPr>
          </w:p>
        </w:tc>
      </w:tr>
    </w:tbl>
    <w:p w:rsidR="00436227" w:rsidRPr="00BA4AFD" w:rsidRDefault="00BA4AFD" w:rsidP="00436227">
      <w:pPr>
        <w:spacing w:after="0" w:line="240" w:lineRule="auto"/>
        <w:jc w:val="both"/>
        <w:rPr>
          <w:i/>
          <w:sz w:val="18"/>
        </w:rPr>
      </w:pPr>
      <w:r w:rsidRPr="00BA4AFD">
        <w:rPr>
          <w:rFonts w:ascii="Calibri" w:eastAsia="Times New Roman" w:hAnsi="Calibri" w:cs="Arial"/>
          <w:b/>
          <w:bCs/>
          <w:vertAlign w:val="superscript"/>
        </w:rPr>
        <w:t>1</w:t>
      </w:r>
      <w:r w:rsidR="00436227" w:rsidRPr="00BA4AFD">
        <w:t xml:space="preserve"> </w:t>
      </w:r>
      <w:r w:rsidR="00436227" w:rsidRPr="00BA4AFD">
        <w:rPr>
          <w:i/>
          <w:sz w:val="18"/>
        </w:rPr>
        <w:t xml:space="preserve">Plus précisément, au cours de l’année </w:t>
      </w:r>
      <w:r w:rsidRPr="00BA4AFD">
        <w:rPr>
          <w:i/>
          <w:sz w:val="18"/>
        </w:rPr>
        <w:t>201</w:t>
      </w:r>
      <w:r>
        <w:rPr>
          <w:i/>
          <w:sz w:val="18"/>
        </w:rPr>
        <w:t>7,</w:t>
      </w:r>
      <w:r w:rsidRPr="00BA4AFD">
        <w:rPr>
          <w:i/>
          <w:sz w:val="18"/>
        </w:rPr>
        <w:t xml:space="preserve"> combien</w:t>
      </w:r>
      <w:r w:rsidR="00436227" w:rsidRPr="00BA4AFD">
        <w:rPr>
          <w:i/>
          <w:sz w:val="18"/>
        </w:rPr>
        <w:t xml:space="preserve"> de fois avez-vous fait ce tri ?</w:t>
      </w:r>
    </w:p>
    <w:p w:rsidR="00436227" w:rsidRDefault="00BA4AFD" w:rsidP="00DB07FE">
      <w:pPr>
        <w:spacing w:after="120"/>
        <w:jc w:val="both"/>
        <w:rPr>
          <w:b/>
          <w:sz w:val="24"/>
          <w:highlight w:val="yellow"/>
        </w:rPr>
      </w:pPr>
      <w:r w:rsidRPr="00BA4AFD">
        <w:rPr>
          <w:rFonts w:ascii="Calibri" w:eastAsia="Times New Roman" w:hAnsi="Calibri" w:cs="Arial"/>
          <w:b/>
          <w:iCs/>
          <w:sz w:val="16"/>
          <w:szCs w:val="16"/>
          <w:vertAlign w:val="superscript"/>
        </w:rPr>
        <w:t>2</w:t>
      </w:r>
      <w:r w:rsidRPr="00436227">
        <w:rPr>
          <w:i/>
          <w:sz w:val="18"/>
        </w:rPr>
        <w:t>Le nombre de foyers provient du recensement de la population française effectué par l’INSEE</w:t>
      </w:r>
    </w:p>
    <w:p w:rsidR="00736C9B" w:rsidRDefault="00736C9B" w:rsidP="005212A9">
      <w:pPr>
        <w:spacing w:after="0" w:line="240" w:lineRule="auto"/>
        <w:jc w:val="both"/>
        <w:rPr>
          <w:sz w:val="24"/>
        </w:rPr>
      </w:pPr>
    </w:p>
    <w:p w:rsidR="005212A9" w:rsidRDefault="005212A9" w:rsidP="005212A9">
      <w:pPr>
        <w:spacing w:after="0" w:line="240" w:lineRule="auto"/>
        <w:jc w:val="both"/>
        <w:rPr>
          <w:sz w:val="24"/>
        </w:rPr>
      </w:pPr>
      <w:r w:rsidRPr="000D0BB5">
        <w:rPr>
          <w:sz w:val="24"/>
        </w:rPr>
        <w:t>Parmi les facteurs expliquant cette baisse</w:t>
      </w:r>
      <w:r w:rsidR="00736C9B">
        <w:rPr>
          <w:sz w:val="24"/>
        </w:rPr>
        <w:t xml:space="preserve"> des MNU au sein des foyers français</w:t>
      </w:r>
      <w:r w:rsidRPr="000D0BB5">
        <w:rPr>
          <w:sz w:val="24"/>
        </w:rPr>
        <w:t>, nous pouvons citer :</w:t>
      </w:r>
    </w:p>
    <w:p w:rsidR="005212A9" w:rsidRPr="00DB07FE" w:rsidRDefault="005212A9" w:rsidP="005212A9">
      <w:pPr>
        <w:spacing w:after="0" w:line="240" w:lineRule="auto"/>
        <w:jc w:val="both"/>
        <w:rPr>
          <w:sz w:val="4"/>
          <w:szCs w:val="16"/>
        </w:rPr>
      </w:pPr>
    </w:p>
    <w:p w:rsidR="005212A9" w:rsidRPr="000D0BB5" w:rsidRDefault="005212A9" w:rsidP="005212A9">
      <w:pPr>
        <w:pStyle w:val="Paragraphedeliste"/>
        <w:numPr>
          <w:ilvl w:val="0"/>
          <w:numId w:val="2"/>
        </w:numPr>
        <w:spacing w:after="0" w:line="240" w:lineRule="auto"/>
        <w:ind w:left="426" w:hanging="284"/>
        <w:jc w:val="both"/>
        <w:rPr>
          <w:sz w:val="24"/>
        </w:rPr>
      </w:pPr>
      <w:r w:rsidRPr="000D0BB5">
        <w:rPr>
          <w:sz w:val="24"/>
        </w:rPr>
        <w:t>La baisse de la consommation de</w:t>
      </w:r>
      <w:r>
        <w:rPr>
          <w:sz w:val="24"/>
        </w:rPr>
        <w:t>s</w:t>
      </w:r>
      <w:r w:rsidRPr="000D0BB5">
        <w:rPr>
          <w:sz w:val="24"/>
        </w:rPr>
        <w:t xml:space="preserve"> médicaments</w:t>
      </w:r>
    </w:p>
    <w:p w:rsidR="005212A9" w:rsidRPr="000D0BB5" w:rsidRDefault="005212A9" w:rsidP="005212A9">
      <w:pPr>
        <w:pStyle w:val="Paragraphedeliste"/>
        <w:numPr>
          <w:ilvl w:val="0"/>
          <w:numId w:val="2"/>
        </w:numPr>
        <w:spacing w:after="0" w:line="240" w:lineRule="auto"/>
        <w:ind w:left="426" w:hanging="284"/>
        <w:jc w:val="both"/>
        <w:rPr>
          <w:sz w:val="24"/>
        </w:rPr>
      </w:pPr>
      <w:r w:rsidRPr="000D0BB5">
        <w:rPr>
          <w:sz w:val="24"/>
        </w:rPr>
        <w:t>La baisse des prescriptions</w:t>
      </w:r>
    </w:p>
    <w:p w:rsidR="005212A9" w:rsidRPr="000D0BB5" w:rsidRDefault="005212A9" w:rsidP="005212A9">
      <w:pPr>
        <w:pStyle w:val="Paragraphedeliste"/>
        <w:numPr>
          <w:ilvl w:val="0"/>
          <w:numId w:val="2"/>
        </w:numPr>
        <w:spacing w:after="0" w:line="240" w:lineRule="auto"/>
        <w:ind w:left="426" w:hanging="284"/>
        <w:jc w:val="both"/>
        <w:rPr>
          <w:sz w:val="24"/>
        </w:rPr>
      </w:pPr>
      <w:r w:rsidRPr="000D0BB5">
        <w:rPr>
          <w:sz w:val="24"/>
        </w:rPr>
        <w:t>Les campagnes sur le Bon Usage faites par les autorités et les professionnels de santé</w:t>
      </w:r>
      <w:r>
        <w:rPr>
          <w:sz w:val="24"/>
        </w:rPr>
        <w:t xml:space="preserve"> (</w:t>
      </w:r>
      <w:bookmarkStart w:id="0" w:name="_GoBack"/>
      <w:bookmarkEnd w:id="0"/>
      <w:r>
        <w:rPr>
          <w:sz w:val="24"/>
        </w:rPr>
        <w:t>médecins, pharmaciens, industriels)</w:t>
      </w:r>
      <w:r w:rsidRPr="000D0BB5">
        <w:rPr>
          <w:sz w:val="24"/>
        </w:rPr>
        <w:t xml:space="preserve"> pour sensibiliser les patients à une bonne observance</w:t>
      </w:r>
    </w:p>
    <w:p w:rsidR="005212A9" w:rsidRDefault="005212A9" w:rsidP="005212A9">
      <w:pPr>
        <w:pStyle w:val="Paragraphedeliste"/>
        <w:numPr>
          <w:ilvl w:val="0"/>
          <w:numId w:val="2"/>
        </w:numPr>
        <w:spacing w:after="0" w:line="240" w:lineRule="auto"/>
        <w:ind w:left="426" w:hanging="284"/>
        <w:jc w:val="both"/>
        <w:rPr>
          <w:sz w:val="24"/>
        </w:rPr>
      </w:pPr>
      <w:r>
        <w:rPr>
          <w:sz w:val="24"/>
        </w:rPr>
        <w:t xml:space="preserve">Une vigilance accrue des citoyens vis-à-vis des médicaments, pour ne conserver dans leur armoire à pharmacie </w:t>
      </w:r>
      <w:r w:rsidRPr="000D0BB5">
        <w:rPr>
          <w:sz w:val="24"/>
        </w:rPr>
        <w:t>que les médicame</w:t>
      </w:r>
      <w:r>
        <w:rPr>
          <w:sz w:val="24"/>
        </w:rPr>
        <w:t>nts les plus utiles à leur traitement.</w:t>
      </w:r>
    </w:p>
    <w:p w:rsidR="00D515A5" w:rsidRPr="00E111EA" w:rsidRDefault="00D515A5" w:rsidP="005212A9">
      <w:pPr>
        <w:pStyle w:val="Paragraphedeliste"/>
        <w:numPr>
          <w:ilvl w:val="0"/>
          <w:numId w:val="2"/>
        </w:numPr>
        <w:spacing w:after="0" w:line="240" w:lineRule="auto"/>
        <w:ind w:left="426" w:hanging="284"/>
        <w:jc w:val="both"/>
        <w:rPr>
          <w:sz w:val="24"/>
        </w:rPr>
      </w:pPr>
      <w:r w:rsidRPr="00E111EA">
        <w:rPr>
          <w:sz w:val="24"/>
        </w:rPr>
        <w:t>La transformation de certains méd</w:t>
      </w:r>
      <w:r w:rsidR="00E111EA">
        <w:rPr>
          <w:sz w:val="24"/>
        </w:rPr>
        <w:t>icaments en dispositifs médicaux</w:t>
      </w:r>
      <w:r w:rsidRPr="00E111EA">
        <w:rPr>
          <w:sz w:val="24"/>
        </w:rPr>
        <w:t>.</w:t>
      </w:r>
    </w:p>
    <w:p w:rsidR="00D515A5" w:rsidRPr="00E111EA" w:rsidRDefault="00D515A5" w:rsidP="005212A9">
      <w:pPr>
        <w:pStyle w:val="Paragraphedeliste"/>
        <w:numPr>
          <w:ilvl w:val="0"/>
          <w:numId w:val="2"/>
        </w:numPr>
        <w:spacing w:after="0" w:line="240" w:lineRule="auto"/>
        <w:ind w:left="426" w:hanging="284"/>
        <w:jc w:val="both"/>
        <w:rPr>
          <w:sz w:val="24"/>
        </w:rPr>
      </w:pPr>
      <w:r w:rsidRPr="00E111EA">
        <w:rPr>
          <w:sz w:val="24"/>
        </w:rPr>
        <w:t>La diminution du nombr</w:t>
      </w:r>
      <w:r w:rsidR="00E111EA">
        <w:rPr>
          <w:sz w:val="24"/>
        </w:rPr>
        <w:t>e de lignes sur les ordonnances</w:t>
      </w:r>
      <w:r w:rsidRPr="00E111EA">
        <w:rPr>
          <w:sz w:val="24"/>
        </w:rPr>
        <w:t>.</w:t>
      </w:r>
    </w:p>
    <w:p w:rsidR="00D515A5" w:rsidRPr="00E111EA" w:rsidRDefault="00D515A5" w:rsidP="005212A9">
      <w:pPr>
        <w:pStyle w:val="Paragraphedeliste"/>
        <w:numPr>
          <w:ilvl w:val="0"/>
          <w:numId w:val="2"/>
        </w:numPr>
        <w:spacing w:after="0" w:line="240" w:lineRule="auto"/>
        <w:ind w:left="426" w:hanging="284"/>
        <w:jc w:val="both"/>
        <w:rPr>
          <w:sz w:val="24"/>
        </w:rPr>
      </w:pPr>
      <w:r w:rsidRPr="00E111EA">
        <w:rPr>
          <w:sz w:val="24"/>
        </w:rPr>
        <w:t>Le développement des médecines alternative</w:t>
      </w:r>
      <w:r w:rsidR="00E111EA">
        <w:rPr>
          <w:sz w:val="24"/>
        </w:rPr>
        <w:t>s</w:t>
      </w:r>
      <w:r w:rsidRPr="00E111EA">
        <w:rPr>
          <w:sz w:val="24"/>
        </w:rPr>
        <w:t>.</w:t>
      </w:r>
    </w:p>
    <w:p w:rsidR="00D515A5" w:rsidRPr="00E111EA" w:rsidRDefault="00D515A5" w:rsidP="005212A9">
      <w:pPr>
        <w:pStyle w:val="Paragraphedeliste"/>
        <w:numPr>
          <w:ilvl w:val="0"/>
          <w:numId w:val="2"/>
        </w:numPr>
        <w:spacing w:after="0" w:line="240" w:lineRule="auto"/>
        <w:ind w:left="426" w:hanging="284"/>
        <w:jc w:val="both"/>
        <w:rPr>
          <w:sz w:val="24"/>
        </w:rPr>
      </w:pPr>
      <w:r w:rsidRPr="00E111EA">
        <w:rPr>
          <w:sz w:val="24"/>
        </w:rPr>
        <w:t xml:space="preserve">Le développement de la Préparation des Doses à Administrer (PDA). </w:t>
      </w:r>
    </w:p>
    <w:p w:rsidR="007F4683" w:rsidRPr="00E111EA" w:rsidRDefault="007F4683" w:rsidP="005212A9">
      <w:pPr>
        <w:spacing w:after="0" w:line="240" w:lineRule="auto"/>
        <w:jc w:val="both"/>
        <w:rPr>
          <w:sz w:val="24"/>
        </w:rPr>
      </w:pPr>
    </w:p>
    <w:sectPr w:rsidR="007F4683" w:rsidRPr="00E111EA" w:rsidSect="006910B0">
      <w:headerReference w:type="default" r:id="rId8"/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94D" w:rsidRDefault="005C494D" w:rsidP="00E907C3">
      <w:pPr>
        <w:spacing w:after="0" w:line="240" w:lineRule="auto"/>
      </w:pPr>
      <w:r>
        <w:separator/>
      </w:r>
    </w:p>
  </w:endnote>
  <w:endnote w:type="continuationSeparator" w:id="0">
    <w:p w:rsidR="005C494D" w:rsidRDefault="005C494D" w:rsidP="00E9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3C3" w:rsidRDefault="003B63C3">
    <w:pPr>
      <w:pStyle w:val="Pieddepage"/>
    </w:pPr>
  </w:p>
  <w:p w:rsidR="003B63C3" w:rsidRDefault="003B63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94D" w:rsidRDefault="005C494D" w:rsidP="00E907C3">
      <w:pPr>
        <w:spacing w:after="0" w:line="240" w:lineRule="auto"/>
      </w:pPr>
      <w:r>
        <w:separator/>
      </w:r>
    </w:p>
  </w:footnote>
  <w:footnote w:type="continuationSeparator" w:id="0">
    <w:p w:rsidR="005C494D" w:rsidRDefault="005C494D" w:rsidP="00E9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3C3" w:rsidRDefault="003B63C3" w:rsidP="00C526D0">
    <w:pPr>
      <w:pStyle w:val="En-tte"/>
      <w:tabs>
        <w:tab w:val="clear" w:pos="4536"/>
        <w:tab w:val="clear" w:pos="9072"/>
        <w:tab w:val="right" w:pos="9356"/>
      </w:tabs>
    </w:pPr>
    <w:r w:rsidRPr="00C526D0">
      <w:rPr>
        <w:noProof/>
      </w:rPr>
      <w:drawing>
        <wp:inline distT="0" distB="0" distL="0" distR="0">
          <wp:extent cx="1243079" cy="1004552"/>
          <wp:effectExtent l="19050" t="0" r="0" b="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95" cy="1007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ab/>
    </w:r>
    <w:r w:rsidRPr="00C526D0">
      <w:rPr>
        <w:noProof/>
      </w:rPr>
      <w:drawing>
        <wp:inline distT="0" distB="0" distL="0" distR="0">
          <wp:extent cx="1834207" cy="572750"/>
          <wp:effectExtent l="19050" t="0" r="0" b="0"/>
          <wp:docPr id="3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207" cy="572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  <w:p w:rsidR="003B63C3" w:rsidRDefault="003B63C3" w:rsidP="009D51F2">
    <w:pPr>
      <w:pStyle w:val="En-tt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565A"/>
    <w:multiLevelType w:val="hybridMultilevel"/>
    <w:tmpl w:val="57FCB5DA"/>
    <w:lvl w:ilvl="0" w:tplc="F07A07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D2864"/>
    <w:multiLevelType w:val="hybridMultilevel"/>
    <w:tmpl w:val="6DA03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C3"/>
    <w:rsid w:val="00002DA0"/>
    <w:rsid w:val="0001547A"/>
    <w:rsid w:val="00022C60"/>
    <w:rsid w:val="000263E4"/>
    <w:rsid w:val="00034F01"/>
    <w:rsid w:val="00036AFD"/>
    <w:rsid w:val="000510C7"/>
    <w:rsid w:val="00072E73"/>
    <w:rsid w:val="000A4D7C"/>
    <w:rsid w:val="000D0BB5"/>
    <w:rsid w:val="000D554C"/>
    <w:rsid w:val="000F7CE7"/>
    <w:rsid w:val="001140A3"/>
    <w:rsid w:val="00126E94"/>
    <w:rsid w:val="00131D8B"/>
    <w:rsid w:val="001571CC"/>
    <w:rsid w:val="00174905"/>
    <w:rsid w:val="00174BAD"/>
    <w:rsid w:val="001809F2"/>
    <w:rsid w:val="00180ABA"/>
    <w:rsid w:val="0018392E"/>
    <w:rsid w:val="001A0AF3"/>
    <w:rsid w:val="001F39E5"/>
    <w:rsid w:val="001F3F7E"/>
    <w:rsid w:val="0022141E"/>
    <w:rsid w:val="002247AE"/>
    <w:rsid w:val="00246352"/>
    <w:rsid w:val="00255FE9"/>
    <w:rsid w:val="002A2DB0"/>
    <w:rsid w:val="002B2CA1"/>
    <w:rsid w:val="002B60A6"/>
    <w:rsid w:val="002C79A1"/>
    <w:rsid w:val="002D62B4"/>
    <w:rsid w:val="002E0102"/>
    <w:rsid w:val="0030218F"/>
    <w:rsid w:val="003129EF"/>
    <w:rsid w:val="003342DC"/>
    <w:rsid w:val="003632CA"/>
    <w:rsid w:val="00363D9F"/>
    <w:rsid w:val="00373B00"/>
    <w:rsid w:val="00380A99"/>
    <w:rsid w:val="00392E45"/>
    <w:rsid w:val="003B63C3"/>
    <w:rsid w:val="003B6C55"/>
    <w:rsid w:val="003D5AC4"/>
    <w:rsid w:val="003E70B1"/>
    <w:rsid w:val="004130D7"/>
    <w:rsid w:val="0041791E"/>
    <w:rsid w:val="00436227"/>
    <w:rsid w:val="004440C9"/>
    <w:rsid w:val="0044722E"/>
    <w:rsid w:val="00465DCF"/>
    <w:rsid w:val="0047470A"/>
    <w:rsid w:val="00480817"/>
    <w:rsid w:val="00481002"/>
    <w:rsid w:val="004C5933"/>
    <w:rsid w:val="005212A9"/>
    <w:rsid w:val="00544E4F"/>
    <w:rsid w:val="00545E5A"/>
    <w:rsid w:val="0056051D"/>
    <w:rsid w:val="005649DE"/>
    <w:rsid w:val="00586EB6"/>
    <w:rsid w:val="005954AC"/>
    <w:rsid w:val="005A1622"/>
    <w:rsid w:val="005C494D"/>
    <w:rsid w:val="005E1073"/>
    <w:rsid w:val="005E4947"/>
    <w:rsid w:val="0060561E"/>
    <w:rsid w:val="006428FD"/>
    <w:rsid w:val="006501A2"/>
    <w:rsid w:val="00663E93"/>
    <w:rsid w:val="0067735C"/>
    <w:rsid w:val="006910B0"/>
    <w:rsid w:val="0069332C"/>
    <w:rsid w:val="006A384D"/>
    <w:rsid w:val="006C1AFA"/>
    <w:rsid w:val="006C2157"/>
    <w:rsid w:val="00736C9B"/>
    <w:rsid w:val="00796EC9"/>
    <w:rsid w:val="007C7DD6"/>
    <w:rsid w:val="007F4683"/>
    <w:rsid w:val="00810484"/>
    <w:rsid w:val="00815034"/>
    <w:rsid w:val="008165E3"/>
    <w:rsid w:val="00831229"/>
    <w:rsid w:val="00841319"/>
    <w:rsid w:val="00845E62"/>
    <w:rsid w:val="00860D0F"/>
    <w:rsid w:val="008664E7"/>
    <w:rsid w:val="008768BD"/>
    <w:rsid w:val="00895230"/>
    <w:rsid w:val="008D3CF2"/>
    <w:rsid w:val="00903494"/>
    <w:rsid w:val="00915C70"/>
    <w:rsid w:val="009415BB"/>
    <w:rsid w:val="00943AF3"/>
    <w:rsid w:val="009679E5"/>
    <w:rsid w:val="009953EA"/>
    <w:rsid w:val="009A4F96"/>
    <w:rsid w:val="009D51F2"/>
    <w:rsid w:val="009F0E1D"/>
    <w:rsid w:val="00A401DD"/>
    <w:rsid w:val="00A67B8C"/>
    <w:rsid w:val="00A705EC"/>
    <w:rsid w:val="00A73F47"/>
    <w:rsid w:val="00A932A7"/>
    <w:rsid w:val="00AA419B"/>
    <w:rsid w:val="00AC7055"/>
    <w:rsid w:val="00AF762A"/>
    <w:rsid w:val="00B07A15"/>
    <w:rsid w:val="00B22DC0"/>
    <w:rsid w:val="00B5219D"/>
    <w:rsid w:val="00B77FA4"/>
    <w:rsid w:val="00B84DCC"/>
    <w:rsid w:val="00B94B9A"/>
    <w:rsid w:val="00BA4AFD"/>
    <w:rsid w:val="00BA55C8"/>
    <w:rsid w:val="00BA779C"/>
    <w:rsid w:val="00BD1FAF"/>
    <w:rsid w:val="00BE5308"/>
    <w:rsid w:val="00C04781"/>
    <w:rsid w:val="00C3063B"/>
    <w:rsid w:val="00C43B52"/>
    <w:rsid w:val="00C526D0"/>
    <w:rsid w:val="00C71F83"/>
    <w:rsid w:val="00C812C6"/>
    <w:rsid w:val="00CC2BF1"/>
    <w:rsid w:val="00CC5A77"/>
    <w:rsid w:val="00CD6F94"/>
    <w:rsid w:val="00D00234"/>
    <w:rsid w:val="00D131BC"/>
    <w:rsid w:val="00D31331"/>
    <w:rsid w:val="00D4282B"/>
    <w:rsid w:val="00D515A5"/>
    <w:rsid w:val="00D51AD9"/>
    <w:rsid w:val="00D62F9B"/>
    <w:rsid w:val="00D74A69"/>
    <w:rsid w:val="00D75362"/>
    <w:rsid w:val="00DA07D2"/>
    <w:rsid w:val="00DA0C2F"/>
    <w:rsid w:val="00DB07FE"/>
    <w:rsid w:val="00DC4A2D"/>
    <w:rsid w:val="00DC6782"/>
    <w:rsid w:val="00DC78F7"/>
    <w:rsid w:val="00DD7946"/>
    <w:rsid w:val="00DF26E0"/>
    <w:rsid w:val="00E111EA"/>
    <w:rsid w:val="00E16116"/>
    <w:rsid w:val="00E907C3"/>
    <w:rsid w:val="00EC10BD"/>
    <w:rsid w:val="00ED57EA"/>
    <w:rsid w:val="00EE027A"/>
    <w:rsid w:val="00F17147"/>
    <w:rsid w:val="00F20109"/>
    <w:rsid w:val="00F27383"/>
    <w:rsid w:val="00F2782F"/>
    <w:rsid w:val="00F85915"/>
    <w:rsid w:val="00F919ED"/>
    <w:rsid w:val="00FB3313"/>
    <w:rsid w:val="00FC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AB971-86E5-4F65-BADA-6D4B70DF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E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7C3"/>
  </w:style>
  <w:style w:type="paragraph" w:styleId="Pieddepage">
    <w:name w:val="footer"/>
    <w:basedOn w:val="Normal"/>
    <w:link w:val="PieddepageCar"/>
    <w:uiPriority w:val="99"/>
    <w:unhideWhenUsed/>
    <w:rsid w:val="00E9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7C3"/>
  </w:style>
  <w:style w:type="paragraph" w:styleId="Textedebulles">
    <w:name w:val="Balloon Text"/>
    <w:basedOn w:val="Normal"/>
    <w:link w:val="TextedebullesCar"/>
    <w:uiPriority w:val="99"/>
    <w:semiHidden/>
    <w:unhideWhenUsed/>
    <w:rsid w:val="00E9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7C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4F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5A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claire-Accent3">
    <w:name w:val="Light Grid Accent 3"/>
    <w:basedOn w:val="TableauNormal"/>
    <w:uiPriority w:val="62"/>
    <w:rsid w:val="00F201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eclaire-Accent3">
    <w:name w:val="Light List Accent 3"/>
    <w:basedOn w:val="TableauNormal"/>
    <w:uiPriority w:val="61"/>
    <w:rsid w:val="00F201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moyenne2-Accent3">
    <w:name w:val="Medium List 2 Accent 3"/>
    <w:basedOn w:val="TableauNormal"/>
    <w:uiPriority w:val="66"/>
    <w:rsid w:val="00F201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3">
    <w:name w:val="Light Shading Accent 3"/>
    <w:basedOn w:val="TableauNormal"/>
    <w:uiPriority w:val="60"/>
    <w:rsid w:val="00F201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A7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90D06-552D-40D4-8944-ED1A5577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awilkus</dc:creator>
  <cp:lastModifiedBy>MARJORIE BORDENAVE</cp:lastModifiedBy>
  <cp:revision>2</cp:revision>
  <cp:lastPrinted>2016-03-31T12:22:00Z</cp:lastPrinted>
  <dcterms:created xsi:type="dcterms:W3CDTF">2018-05-22T09:38:00Z</dcterms:created>
  <dcterms:modified xsi:type="dcterms:W3CDTF">2018-05-22T09:38:00Z</dcterms:modified>
</cp:coreProperties>
</file>